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mail.2fejlampa-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mail.2fejlampa-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mail.2fejlampa-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mail.2fejlampa-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mail.2fejlampa-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